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9EEF" w14:textId="5A8F0AEB" w:rsidR="009F2404" w:rsidRDefault="00D82298">
      <w:r>
        <w:rPr>
          <w:noProof/>
        </w:rPr>
        <w:drawing>
          <wp:inline distT="0" distB="0" distL="0" distR="0" wp14:anchorId="70B400E6" wp14:editId="5DE2A2DE">
            <wp:extent cx="3683446" cy="137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erscough College - Inspiring Excellence - landscape version BLACK cop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10" cy="13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FDB5" w14:textId="77777777" w:rsidR="00331BBD" w:rsidRDefault="00331BBD"/>
    <w:p w14:paraId="3B3FDC26" w14:textId="46BE893B" w:rsidR="009F2404" w:rsidRDefault="00EB3838" w:rsidP="00E35B47">
      <w:pPr>
        <w:jc w:val="center"/>
      </w:pPr>
      <w:r w:rsidRPr="00EB3838">
        <w:rPr>
          <w:noProof/>
        </w:rPr>
        <w:drawing>
          <wp:inline distT="0" distB="0" distL="0" distR="0" wp14:anchorId="16A3771A" wp14:editId="17879722">
            <wp:extent cx="5076825" cy="2390775"/>
            <wp:effectExtent l="0" t="0" r="9525" b="9525"/>
            <wp:docPr id="11" name="Picture 6" descr="C:\Users\jwherry\AppData\Local\Microsoft\Windows\INetCache\Content.Outlook\F0AW466Y\0V9A5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jwherry\AppData\Local\Microsoft\Windows\INetCache\Content.Outlook\F0AW466Y\0V9A59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22" cy="239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7E04" w14:textId="3E31B193" w:rsidR="00E35B47" w:rsidRDefault="00EB3838" w:rsidP="00E35B47">
      <w:pPr>
        <w:jc w:val="center"/>
      </w:pPr>
      <w:r w:rsidRPr="00EB3838">
        <w:rPr>
          <w:noProof/>
        </w:rPr>
        <w:drawing>
          <wp:inline distT="0" distB="0" distL="0" distR="0" wp14:anchorId="4251A2C3" wp14:editId="5E3FCF55">
            <wp:extent cx="1819275" cy="1295400"/>
            <wp:effectExtent l="0" t="0" r="0" b="0"/>
            <wp:docPr id="12" name="Picture 5" descr="rural skills.JPG">
              <a:extLst xmlns:a="http://schemas.openxmlformats.org/drawingml/2006/main">
                <a:ext uri="{FF2B5EF4-FFF2-40B4-BE49-F238E27FC236}">
                  <a16:creationId xmlns:a16="http://schemas.microsoft.com/office/drawing/2014/main" id="{84A516D3-AD72-479D-BB75-F37C7CDEDE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ural skills.JPG">
                      <a:extLst>
                        <a:ext uri="{FF2B5EF4-FFF2-40B4-BE49-F238E27FC236}">
                          <a16:creationId xmlns:a16="http://schemas.microsoft.com/office/drawing/2014/main" id="{84A516D3-AD72-479D-BB75-F37C7CDEDEB8}"/>
                        </a:ext>
                      </a:extLst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98" cy="12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B47">
        <w:t xml:space="preserve"> </w:t>
      </w:r>
      <w:r w:rsidR="00331BBD">
        <w:t xml:space="preserve">      </w:t>
      </w:r>
      <w:r w:rsidR="00E35B47">
        <w:t xml:space="preserve"> </w:t>
      </w:r>
      <w:r w:rsidR="00331BBD" w:rsidRPr="380DBA7E">
        <w:rPr>
          <w:noProof/>
        </w:rPr>
        <w:t xml:space="preserve">  </w:t>
      </w:r>
      <w:r w:rsidRPr="00EB3838">
        <w:rPr>
          <w:noProof/>
        </w:rPr>
        <w:drawing>
          <wp:inline distT="0" distB="0" distL="0" distR="0" wp14:anchorId="137621CE" wp14:editId="73E67DE0">
            <wp:extent cx="1962150" cy="131445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F4AC35A-A432-4EB8-881F-5E0C3D6088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F4AC35A-A432-4EB8-881F-5E0C3D608806}"/>
                        </a:ext>
                      </a:extLst>
                    </pic:cNvPr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93" cy="13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1BA0" w14:textId="31BE9AE3" w:rsidR="009F2404" w:rsidRDefault="00E35B47" w:rsidP="00E35B47">
      <w:pPr>
        <w:jc w:val="center"/>
      </w:pPr>
      <w:r>
        <w:t xml:space="preserve">   </w:t>
      </w:r>
      <w:r w:rsidR="00B32AAF">
        <w:t xml:space="preserve"> </w:t>
      </w:r>
      <w:r w:rsidR="00331BBD">
        <w:t xml:space="preserve">  </w:t>
      </w:r>
      <w:r>
        <w:t xml:space="preserve">   </w:t>
      </w:r>
      <w:r w:rsidR="00EB3838" w:rsidRPr="00EB3838">
        <w:rPr>
          <w:noProof/>
        </w:rPr>
        <w:drawing>
          <wp:inline distT="0" distB="0" distL="0" distR="0" wp14:anchorId="761DED91" wp14:editId="5286C83C">
            <wp:extent cx="2609850" cy="16383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DC44724-1508-49FF-B434-8DCF5CA669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DC44724-1508-49FF-B434-8DCF5CA6695E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61" cy="1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0DBA7E">
        <w:rPr>
          <w:noProof/>
        </w:rPr>
        <w:t xml:space="preserve">   </w:t>
      </w:r>
      <w:r w:rsidR="00331BBD" w:rsidRPr="380DBA7E">
        <w:rPr>
          <w:noProof/>
        </w:rPr>
        <w:t xml:space="preserve">  </w:t>
      </w:r>
      <w:r w:rsidR="00B32AAF" w:rsidRPr="380DBA7E">
        <w:rPr>
          <w:noProof/>
        </w:rPr>
        <w:t xml:space="preserve"> </w:t>
      </w:r>
      <w:r w:rsidRPr="380DBA7E">
        <w:rPr>
          <w:noProof/>
        </w:rPr>
        <w:t xml:space="preserve">   </w:t>
      </w:r>
    </w:p>
    <w:p w14:paraId="2F187722" w14:textId="77777777" w:rsidR="009F2404" w:rsidRDefault="009F2404"/>
    <w:p w14:paraId="589F1B0F" w14:textId="7F0B9B6C" w:rsidR="009F2404" w:rsidRPr="00D82298" w:rsidRDefault="00053D01" w:rsidP="00D82298">
      <w:pPr>
        <w:spacing w:after="0" w:line="240" w:lineRule="auto"/>
        <w:ind w:left="3600" w:right="95"/>
        <w:rPr>
          <w:b/>
          <w:sz w:val="44"/>
          <w:szCs w:val="56"/>
        </w:rPr>
      </w:pPr>
      <w:r w:rsidRPr="00D82298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Streamlined Energy and Carbon Reporting 19 – 20 </w:t>
      </w:r>
    </w:p>
    <w:p w14:paraId="6ADDED45" w14:textId="77777777" w:rsidR="009F2404" w:rsidRPr="00D82298" w:rsidRDefault="009F2404" w:rsidP="009F2404">
      <w:pPr>
        <w:spacing w:after="0" w:line="240" w:lineRule="auto"/>
        <w:ind w:left="3600" w:firstLine="720"/>
        <w:rPr>
          <w:b/>
          <w:color w:val="385623" w:themeColor="accent6" w:themeShade="80"/>
          <w:sz w:val="20"/>
          <w:szCs w:val="20"/>
        </w:rPr>
      </w:pPr>
    </w:p>
    <w:p w14:paraId="5EE457EA" w14:textId="77777777" w:rsidR="009F2404" w:rsidRDefault="009F2404" w:rsidP="009F24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33A7" wp14:editId="320D9271">
                <wp:simplePos x="0" y="0"/>
                <wp:positionH relativeFrom="margin">
                  <wp:posOffset>142875</wp:posOffset>
                </wp:positionH>
                <wp:positionV relativeFrom="paragraph">
                  <wp:posOffset>27940</wp:posOffset>
                </wp:positionV>
                <wp:extent cx="5486400" cy="1905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9A30C0">
              <v:line id="Straight Connector 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3pt" from="11.25pt,2.2pt" to="443.25pt,3.7pt" w14:anchorId="678AD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">
                <v:stroke joinstyle="miter"/>
                <w10:wrap anchorx="margin"/>
              </v:line>
            </w:pict>
          </mc:Fallback>
        </mc:AlternateContent>
      </w:r>
    </w:p>
    <w:p w14:paraId="790DA2EA" w14:textId="31A6F795" w:rsidR="009F2404" w:rsidRPr="00D82298" w:rsidRDefault="009F2404" w:rsidP="009F2404">
      <w:pPr>
        <w:spacing w:after="0" w:line="240" w:lineRule="auto"/>
        <w:rPr>
          <w:sz w:val="2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90197">
        <w:t xml:space="preserve">  </w:t>
      </w:r>
      <w:r>
        <w:t xml:space="preserve"> </w:t>
      </w:r>
      <w:r w:rsidRPr="00D82298">
        <w:rPr>
          <w:sz w:val="28"/>
          <w:szCs w:val="48"/>
        </w:rPr>
        <w:t>MARCH 20</w:t>
      </w:r>
      <w:r w:rsidR="00323700" w:rsidRPr="00D82298">
        <w:rPr>
          <w:sz w:val="28"/>
          <w:szCs w:val="48"/>
        </w:rPr>
        <w:t>2</w:t>
      </w:r>
      <w:r w:rsidR="00274B56" w:rsidRPr="00D82298">
        <w:rPr>
          <w:sz w:val="28"/>
          <w:szCs w:val="48"/>
        </w:rPr>
        <w:t>1</w:t>
      </w:r>
    </w:p>
    <w:p w14:paraId="1B2FF554" w14:textId="77777777" w:rsidR="000C483E" w:rsidRDefault="000C483E"/>
    <w:p w14:paraId="19E356FC" w14:textId="77777777" w:rsidR="008F05AD" w:rsidRDefault="008F05AD"/>
    <w:p w14:paraId="418CAF41" w14:textId="1E154DC7" w:rsidR="00923468" w:rsidRPr="00970F41" w:rsidRDefault="00923468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14:paraId="4A0EDD9B" w14:textId="32E5DD4F" w:rsidR="00D82298" w:rsidRPr="00297EE9" w:rsidRDefault="004B08D7" w:rsidP="00970F41">
      <w:pPr>
        <w:spacing w:before="60" w:after="60" w:line="240" w:lineRule="auto"/>
        <w:jc w:val="both"/>
        <w:rPr>
          <w:sz w:val="24"/>
        </w:rPr>
      </w:pPr>
      <w:r w:rsidRPr="00297EE9">
        <w:rPr>
          <w:sz w:val="24"/>
        </w:rPr>
        <w:t>Myerscough College is a specialist land-based</w:t>
      </w:r>
      <w:r w:rsidR="007D54E3">
        <w:rPr>
          <w:sz w:val="24"/>
        </w:rPr>
        <w:t xml:space="preserve">, science, engineering and sports </w:t>
      </w:r>
      <w:r w:rsidRPr="00297EE9">
        <w:rPr>
          <w:sz w:val="24"/>
        </w:rPr>
        <w:t>college operating from a large rural site situated</w:t>
      </w:r>
      <w:r w:rsidR="00CF50FD" w:rsidRPr="00297EE9">
        <w:rPr>
          <w:sz w:val="24"/>
        </w:rPr>
        <w:t xml:space="preserve"> </w:t>
      </w:r>
      <w:r w:rsidRPr="00297EE9">
        <w:rPr>
          <w:sz w:val="24"/>
        </w:rPr>
        <w:t xml:space="preserve">north of Preston, Lancashire.  The College also operates from several other </w:t>
      </w:r>
      <w:r w:rsidR="00CF50FD" w:rsidRPr="00297EE9">
        <w:rPr>
          <w:sz w:val="24"/>
        </w:rPr>
        <w:t>centres</w:t>
      </w:r>
      <w:r w:rsidRPr="00297EE9">
        <w:rPr>
          <w:sz w:val="24"/>
        </w:rPr>
        <w:t xml:space="preserve"> across the North West. The estate occupied by the College is incredibly diverse in nature and includes: general and specialist teaching resources to support a wide range of pre-16, Further Education, Higher Education and Apprenticeship programmes; residential accommodation for learners living on campus; equine facilities which support both curriculum and commercial activities; golf course; and, agricultural and farming facilities, again to support both curriculum and commercial activities.</w:t>
      </w:r>
    </w:p>
    <w:p w14:paraId="4D2C22CF" w14:textId="77777777" w:rsidR="008E4DD8" w:rsidRDefault="008E4DD8" w:rsidP="008E4DD8">
      <w:pPr>
        <w:spacing w:after="0" w:line="240" w:lineRule="auto"/>
        <w:ind w:left="567" w:hanging="567"/>
      </w:pPr>
    </w:p>
    <w:p w14:paraId="23B0F8A8" w14:textId="213310E6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Energy </w:t>
      </w:r>
      <w:r w:rsidR="000022A4"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and Carbon Emissions</w:t>
      </w:r>
      <w:r w:rsidR="00CF50FD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Data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19–20 Year</w:t>
      </w:r>
    </w:p>
    <w:p w14:paraId="576CDAB2" w14:textId="77777777" w:rsidR="001A70DD" w:rsidRPr="001A70DD" w:rsidRDefault="001A70DD" w:rsidP="001A70DD">
      <w:pPr>
        <w:pStyle w:val="ListParagraph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1A70DD" w14:paraId="67C080AD" w14:textId="77777777" w:rsidTr="001A70DD">
        <w:tc>
          <w:tcPr>
            <w:tcW w:w="3005" w:type="dxa"/>
          </w:tcPr>
          <w:p w14:paraId="766B105D" w14:textId="69EA3268" w:rsidR="001A70DD" w:rsidRPr="00970F41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Energy Consumption used to calculate emissions (kWh) </w:t>
            </w:r>
          </w:p>
        </w:tc>
        <w:tc>
          <w:tcPr>
            <w:tcW w:w="3005" w:type="dxa"/>
          </w:tcPr>
          <w:p w14:paraId="6DBD3BF0" w14:textId="511BB3E8" w:rsidR="001A70DD" w:rsidRPr="001A70DD" w:rsidRDefault="001A70DD" w:rsidP="001A70DD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Reporting</w:t>
            </w: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Year</w:t>
            </w:r>
          </w:p>
          <w:p w14:paraId="045FB56D" w14:textId="278C04AD" w:rsidR="001A70DD" w:rsidRDefault="001A70DD" w:rsidP="001A70DD">
            <w:pPr>
              <w:pStyle w:val="ListParagraph"/>
              <w:ind w:left="0"/>
              <w:jc w:val="center"/>
              <w:rPr>
                <w:rFonts w:ascii="Ink Free" w:hAnsi="Ink Free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19 – July 20</w:t>
            </w:r>
          </w:p>
        </w:tc>
      </w:tr>
      <w:tr w:rsidR="001A70DD" w14:paraId="05FA07FE" w14:textId="77777777" w:rsidTr="001A70DD">
        <w:tc>
          <w:tcPr>
            <w:tcW w:w="3005" w:type="dxa"/>
          </w:tcPr>
          <w:p w14:paraId="5F154ABB" w14:textId="79AC079C" w:rsidR="001A70DD" w:rsidRPr="00970F41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Electricity (kWh)</w:t>
            </w:r>
          </w:p>
        </w:tc>
        <w:tc>
          <w:tcPr>
            <w:tcW w:w="3005" w:type="dxa"/>
          </w:tcPr>
          <w:p w14:paraId="4EE0D8A0" w14:textId="6E275273" w:rsidR="001A70DD" w:rsidRPr="00970F41" w:rsidRDefault="002C460D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629E9"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22079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911,509</w:t>
            </w:r>
          </w:p>
        </w:tc>
      </w:tr>
      <w:tr w:rsidR="001A70DD" w14:paraId="14CDC3B2" w14:textId="77777777" w:rsidTr="001A70DD">
        <w:tc>
          <w:tcPr>
            <w:tcW w:w="3005" w:type="dxa"/>
          </w:tcPr>
          <w:p w14:paraId="6411424F" w14:textId="54183BF4" w:rsidR="001A70DD" w:rsidRPr="00970F41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Heating Fuels (kWh)</w:t>
            </w:r>
          </w:p>
        </w:tc>
        <w:tc>
          <w:tcPr>
            <w:tcW w:w="3005" w:type="dxa"/>
          </w:tcPr>
          <w:p w14:paraId="0529C2E5" w14:textId="5B987F42" w:rsidR="001A70DD" w:rsidRPr="00970F41" w:rsidRDefault="00F629E9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907,228</w:t>
            </w:r>
          </w:p>
        </w:tc>
      </w:tr>
      <w:tr w:rsidR="001A70DD" w14:paraId="5A7EC1EB" w14:textId="77777777" w:rsidTr="001A70DD">
        <w:tc>
          <w:tcPr>
            <w:tcW w:w="3005" w:type="dxa"/>
          </w:tcPr>
          <w:p w14:paraId="34D93232" w14:textId="348B3F8E" w:rsidR="001A70DD" w:rsidRPr="00970F41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 (kWh)</w:t>
            </w:r>
          </w:p>
        </w:tc>
        <w:tc>
          <w:tcPr>
            <w:tcW w:w="3005" w:type="dxa"/>
          </w:tcPr>
          <w:p w14:paraId="0B677A4A" w14:textId="151DD68A" w:rsidR="001A70DD" w:rsidRPr="00970F41" w:rsidRDefault="002C460D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F629E9"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878</w:t>
            </w:r>
            <w:r w:rsidR="00F629E9"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1A70DD" w14:paraId="33BB3A6F" w14:textId="77777777" w:rsidTr="001A70DD">
        <w:tc>
          <w:tcPr>
            <w:tcW w:w="3005" w:type="dxa"/>
          </w:tcPr>
          <w:p w14:paraId="4BE248BC" w14:textId="3C266285" w:rsidR="001A70DD" w:rsidRPr="00840A42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 Fuels (kWh)</w:t>
            </w:r>
          </w:p>
        </w:tc>
        <w:tc>
          <w:tcPr>
            <w:tcW w:w="3005" w:type="dxa"/>
          </w:tcPr>
          <w:p w14:paraId="430D3182" w14:textId="34BC24EE" w:rsidR="001A70DD" w:rsidRPr="00970F41" w:rsidRDefault="00F629E9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577,441</w:t>
            </w:r>
          </w:p>
        </w:tc>
      </w:tr>
      <w:tr w:rsidR="00F629E9" w14:paraId="47810061" w14:textId="77777777" w:rsidTr="001A70DD">
        <w:tc>
          <w:tcPr>
            <w:tcW w:w="3005" w:type="dxa"/>
          </w:tcPr>
          <w:p w14:paraId="7E34F113" w14:textId="07D183C2" w:rsidR="00F629E9" w:rsidRPr="00970F41" w:rsidRDefault="00F629E9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(kWh)</w:t>
            </w:r>
          </w:p>
        </w:tc>
        <w:tc>
          <w:tcPr>
            <w:tcW w:w="3005" w:type="dxa"/>
          </w:tcPr>
          <w:p w14:paraId="50116C9F" w14:textId="5E29958F" w:rsidR="00F629E9" w:rsidRPr="00970F41" w:rsidRDefault="00F629E9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22079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2,274,278</w:t>
            </w:r>
          </w:p>
        </w:tc>
      </w:tr>
    </w:tbl>
    <w:p w14:paraId="3CCE750A" w14:textId="14B4A54C" w:rsidR="001A70DD" w:rsidRDefault="001A70DD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60C21" w14:textId="77777777" w:rsidR="002E75B6" w:rsidRDefault="002E75B6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1A70DD" w14:paraId="0F083686" w14:textId="77777777" w:rsidTr="00124EC8">
        <w:tc>
          <w:tcPr>
            <w:tcW w:w="5949" w:type="dxa"/>
          </w:tcPr>
          <w:p w14:paraId="4702B556" w14:textId="18808101" w:rsidR="001A70DD" w:rsidRPr="00840A42" w:rsidRDefault="001A70DD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67" w:type="dxa"/>
          </w:tcPr>
          <w:p w14:paraId="1880EAD1" w14:textId="77777777" w:rsidR="00525F2A" w:rsidRPr="00840A42" w:rsidRDefault="00525F2A" w:rsidP="00525F2A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 Reporting Year</w:t>
            </w:r>
          </w:p>
          <w:p w14:paraId="4DF36F78" w14:textId="24BD1BB6" w:rsidR="001A70DD" w:rsidRDefault="00525F2A" w:rsidP="00525F2A">
            <w:pPr>
              <w:pStyle w:val="ListParagraph"/>
              <w:ind w:left="0"/>
              <w:jc w:val="center"/>
              <w:rPr>
                <w:rFonts w:ascii="Ink Free" w:hAnsi="Ink Free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19 – July 20</w:t>
            </w:r>
          </w:p>
        </w:tc>
      </w:tr>
      <w:tr w:rsidR="00840A42" w14:paraId="6B2CD8F2" w14:textId="77777777" w:rsidTr="0088429E">
        <w:tc>
          <w:tcPr>
            <w:tcW w:w="5949" w:type="dxa"/>
            <w:shd w:val="clear" w:color="auto" w:fill="D0CECE" w:themeFill="background2" w:themeFillShade="E6"/>
          </w:tcPr>
          <w:p w14:paraId="00DA157B" w14:textId="640A4ADC" w:rsidR="00840A42" w:rsidRPr="00840A42" w:rsidRDefault="00840A42" w:rsidP="001A70D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1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tonnes 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  <w:shd w:val="clear" w:color="auto" w:fill="D0CECE" w:themeFill="background2" w:themeFillShade="E6"/>
          </w:tcPr>
          <w:p w14:paraId="4976BC91" w14:textId="77777777" w:rsidR="00840A42" w:rsidRPr="00840A42" w:rsidRDefault="00840A42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70DD" w14:paraId="7474A3E3" w14:textId="77777777" w:rsidTr="00124EC8">
        <w:tc>
          <w:tcPr>
            <w:tcW w:w="5949" w:type="dxa"/>
          </w:tcPr>
          <w:p w14:paraId="492063AF" w14:textId="6023A9F7" w:rsidR="001A70DD" w:rsidRPr="00840A42" w:rsidRDefault="00124EC8" w:rsidP="001A70D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 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</w:tcPr>
          <w:p w14:paraId="7A9D0278" w14:textId="747D21EF" w:rsidR="001A70DD" w:rsidRPr="00840A42" w:rsidRDefault="002C460D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8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1449</w:t>
            </w:r>
          </w:p>
        </w:tc>
      </w:tr>
      <w:tr w:rsidR="001A70DD" w14:paraId="1D6427FF" w14:textId="77777777" w:rsidTr="00124EC8">
        <w:tc>
          <w:tcPr>
            <w:tcW w:w="5949" w:type="dxa"/>
          </w:tcPr>
          <w:p w14:paraId="39C023B1" w14:textId="2828C11E" w:rsidR="001A70DD" w:rsidRPr="00970F41" w:rsidRDefault="00124EC8" w:rsidP="001A70D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Heating Fuels </w:t>
            </w:r>
            <w:r w:rsidR="00B9513B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B9513B"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9513B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</w:tcPr>
          <w:p w14:paraId="1B260A41" w14:textId="0DC47E91" w:rsidR="001A70DD" w:rsidRPr="00970F41" w:rsidRDefault="006B3864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1A70DD" w14:paraId="002BFBA0" w14:textId="77777777" w:rsidTr="00124EC8">
        <w:tc>
          <w:tcPr>
            <w:tcW w:w="5949" w:type="dxa"/>
          </w:tcPr>
          <w:p w14:paraId="265F26F3" w14:textId="662C7920" w:rsidR="001A70DD" w:rsidRPr="00970F41" w:rsidRDefault="00124EC8" w:rsidP="001A70D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Owned transport 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</w:tcPr>
          <w:p w14:paraId="2B65EC6E" w14:textId="213291B9" w:rsidR="001A70DD" w:rsidRPr="00970F41" w:rsidRDefault="006B3864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276</w:t>
            </w:r>
          </w:p>
        </w:tc>
      </w:tr>
      <w:tr w:rsidR="001A70DD" w14:paraId="3CAC0EF9" w14:textId="77777777" w:rsidTr="00124EC8">
        <w:tc>
          <w:tcPr>
            <w:tcW w:w="5949" w:type="dxa"/>
          </w:tcPr>
          <w:p w14:paraId="3260DD6D" w14:textId="16BD9C42" w:rsidR="001A70DD" w:rsidRPr="00970F41" w:rsidRDefault="00124EC8" w:rsidP="001A70DD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Scope</w:t>
            </w:r>
            <w:r w:rsidR="00F629E9"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 w:rsidRPr="00970F41"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tCO2e</w:t>
            </w:r>
          </w:p>
        </w:tc>
        <w:tc>
          <w:tcPr>
            <w:tcW w:w="3067" w:type="dxa"/>
          </w:tcPr>
          <w:p w14:paraId="491B7032" w14:textId="31C90301" w:rsidR="001A70DD" w:rsidRPr="00970F41" w:rsidRDefault="00502E4E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="000C66C9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</w:tr>
      <w:tr w:rsidR="001A70DD" w14:paraId="0A2F6EB6" w14:textId="77777777" w:rsidTr="0088429E">
        <w:tc>
          <w:tcPr>
            <w:tcW w:w="5949" w:type="dxa"/>
            <w:shd w:val="clear" w:color="auto" w:fill="D0CECE" w:themeFill="background2" w:themeFillShade="E6"/>
          </w:tcPr>
          <w:p w14:paraId="610D7BD4" w14:textId="0563F015" w:rsidR="001A70DD" w:rsidRPr="00970F41" w:rsidRDefault="00124EC8" w:rsidP="001A70DD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2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tonnes </w:t>
            </w:r>
            <w:r w:rsidR="00B9513B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B9513B"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9513B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  <w:shd w:val="clear" w:color="auto" w:fill="D0CECE" w:themeFill="background2" w:themeFillShade="E6"/>
          </w:tcPr>
          <w:p w14:paraId="5D54683A" w14:textId="77777777" w:rsidR="001A70DD" w:rsidRPr="00840A42" w:rsidRDefault="001A70DD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70DD" w14:paraId="0B831D61" w14:textId="77777777" w:rsidTr="00124EC8">
        <w:tc>
          <w:tcPr>
            <w:tcW w:w="5949" w:type="dxa"/>
          </w:tcPr>
          <w:p w14:paraId="58B6F656" w14:textId="176B01DF" w:rsidR="001A70DD" w:rsidRPr="00970F41" w:rsidRDefault="00124EC8" w:rsidP="001A70DD">
            <w:pPr>
              <w:pStyle w:val="ListParagraph"/>
              <w:ind w:left="0"/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Purchased Electricity</w:t>
            </w:r>
            <w:r w:rsidRPr="00970F41"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</w:tcPr>
          <w:p w14:paraId="7E15203F" w14:textId="33C4A9F1" w:rsidR="001A70DD" w:rsidRPr="00970F41" w:rsidRDefault="002C460D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E22079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</w:tr>
      <w:tr w:rsidR="00124EC8" w14:paraId="065BE161" w14:textId="77777777" w:rsidTr="0088429E">
        <w:tc>
          <w:tcPr>
            <w:tcW w:w="5949" w:type="dxa"/>
            <w:shd w:val="clear" w:color="auto" w:fill="D0CECE" w:themeFill="background2" w:themeFillShade="E6"/>
          </w:tcPr>
          <w:p w14:paraId="2F79033C" w14:textId="188C4B3D" w:rsidR="00124EC8" w:rsidRPr="00970F41" w:rsidRDefault="00124EC8" w:rsidP="001A70DD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3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tonnes 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  <w:shd w:val="clear" w:color="auto" w:fill="D0CECE" w:themeFill="background2" w:themeFillShade="E6"/>
          </w:tcPr>
          <w:p w14:paraId="507DD4DC" w14:textId="77777777" w:rsidR="00124EC8" w:rsidRPr="00970F41" w:rsidRDefault="00124EC8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EC8" w14:paraId="07E64FD7" w14:textId="77777777" w:rsidTr="00124EC8">
        <w:tc>
          <w:tcPr>
            <w:tcW w:w="5949" w:type="dxa"/>
          </w:tcPr>
          <w:p w14:paraId="0DE1F778" w14:textId="3BB0CA59" w:rsidR="00124EC8" w:rsidRPr="00970F41" w:rsidRDefault="00124EC8" w:rsidP="001A70DD">
            <w:pPr>
              <w:pStyle w:val="ListParagraph"/>
              <w:ind w:left="0"/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Business travel in Employee Owned Vehicles</w:t>
            </w:r>
            <w:r w:rsidRPr="00970F41"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</w:tcPr>
          <w:p w14:paraId="30DF7709" w14:textId="5FD910F0" w:rsidR="00124EC8" w:rsidRPr="00970F41" w:rsidRDefault="006B3864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  <w:tr w:rsidR="00124EC8" w14:paraId="204D2F4F" w14:textId="77777777" w:rsidTr="0088429E">
        <w:tc>
          <w:tcPr>
            <w:tcW w:w="5949" w:type="dxa"/>
            <w:shd w:val="clear" w:color="auto" w:fill="D0CECE" w:themeFill="background2" w:themeFillShade="E6"/>
          </w:tcPr>
          <w:p w14:paraId="23C26631" w14:textId="7BCA25DC" w:rsidR="00124EC8" w:rsidRPr="00840A42" w:rsidRDefault="00124EC8" w:rsidP="001A70DD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Total Gross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Emissions</w:t>
            </w:r>
            <w:r w:rsidRPr="00297EE9"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="00297EE9"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97EE9"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067" w:type="dxa"/>
            <w:shd w:val="clear" w:color="auto" w:fill="D0CECE" w:themeFill="background2" w:themeFillShade="E6"/>
          </w:tcPr>
          <w:p w14:paraId="73D72902" w14:textId="2CBCDED6" w:rsidR="00124EC8" w:rsidRPr="00970F41" w:rsidRDefault="00E22079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  <w:r w:rsidR="006B3864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124EC8" w14:paraId="576CF136" w14:textId="77777777" w:rsidTr="00124EC8">
        <w:tc>
          <w:tcPr>
            <w:tcW w:w="5949" w:type="dxa"/>
          </w:tcPr>
          <w:p w14:paraId="0F883BD3" w14:textId="59861186" w:rsidR="00124EC8" w:rsidRPr="00970F41" w:rsidRDefault="00525F2A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Intensity ratio (No. Staff)</w:t>
            </w:r>
          </w:p>
        </w:tc>
        <w:tc>
          <w:tcPr>
            <w:tcW w:w="3067" w:type="dxa"/>
          </w:tcPr>
          <w:p w14:paraId="786BB789" w14:textId="229A016F" w:rsidR="00124EC8" w:rsidRPr="00970F41" w:rsidRDefault="002C460D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888</w:t>
            </w:r>
          </w:p>
        </w:tc>
      </w:tr>
      <w:tr w:rsidR="00525F2A" w14:paraId="0C66F165" w14:textId="77777777" w:rsidTr="00124EC8">
        <w:tc>
          <w:tcPr>
            <w:tcW w:w="5949" w:type="dxa"/>
          </w:tcPr>
          <w:p w14:paraId="6EED06A2" w14:textId="563EE1FA" w:rsidR="00525F2A" w:rsidRPr="00970F41" w:rsidRDefault="00525F2A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Tonnes CO2e per Member of Staff</w:t>
            </w:r>
          </w:p>
        </w:tc>
        <w:tc>
          <w:tcPr>
            <w:tcW w:w="3067" w:type="dxa"/>
          </w:tcPr>
          <w:p w14:paraId="16245F41" w14:textId="4245A2D9" w:rsidR="00525F2A" w:rsidRPr="00970F41" w:rsidRDefault="002C460D" w:rsidP="00970F41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E22079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3A20E6F5" w14:textId="77777777" w:rsidR="001A70DD" w:rsidRDefault="001A70DD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01833" w14:textId="77777777" w:rsidR="008E4DD8" w:rsidRDefault="008E4DD8" w:rsidP="00297EE9">
      <w:pPr>
        <w:spacing w:after="0" w:line="240" w:lineRule="auto"/>
      </w:pPr>
    </w:p>
    <w:p w14:paraId="44275848" w14:textId="77777777" w:rsidR="008E4DD8" w:rsidRDefault="008E4DD8" w:rsidP="008E4DD8">
      <w:pPr>
        <w:spacing w:after="0" w:line="240" w:lineRule="auto"/>
        <w:ind w:left="567" w:hanging="567"/>
      </w:pPr>
    </w:p>
    <w:p w14:paraId="3472A390" w14:textId="52FB1841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Reporting Methodology</w:t>
      </w:r>
    </w:p>
    <w:p w14:paraId="2CF9AA40" w14:textId="77777777" w:rsidR="008E4DD8" w:rsidRDefault="008E4DD8" w:rsidP="008E4DD8">
      <w:pPr>
        <w:spacing w:after="0" w:line="240" w:lineRule="auto"/>
        <w:ind w:left="567" w:hanging="567"/>
      </w:pPr>
    </w:p>
    <w:p w14:paraId="137E3B27" w14:textId="0B83B42F" w:rsidR="0025472E" w:rsidRPr="00297EE9" w:rsidRDefault="0025472E" w:rsidP="00521BCC">
      <w:pPr>
        <w:spacing w:after="0" w:line="240" w:lineRule="auto"/>
        <w:ind w:left="567" w:hanging="567"/>
        <w:rPr>
          <w:sz w:val="24"/>
        </w:rPr>
      </w:pPr>
      <w:r w:rsidRPr="00297EE9">
        <w:rPr>
          <w:b/>
          <w:sz w:val="24"/>
        </w:rPr>
        <w:t>Reporting Period:</w:t>
      </w:r>
      <w:r w:rsidRPr="00297EE9">
        <w:rPr>
          <w:sz w:val="24"/>
        </w:rPr>
        <w:tab/>
        <w:t xml:space="preserve">1st </w:t>
      </w:r>
      <w:r w:rsidR="00053D01" w:rsidRPr="00297EE9">
        <w:rPr>
          <w:sz w:val="24"/>
        </w:rPr>
        <w:t xml:space="preserve">August </w:t>
      </w:r>
      <w:r w:rsidRPr="00297EE9">
        <w:rPr>
          <w:sz w:val="24"/>
        </w:rPr>
        <w:t>201</w:t>
      </w:r>
      <w:r w:rsidR="00274B56" w:rsidRPr="00297EE9">
        <w:rPr>
          <w:sz w:val="24"/>
        </w:rPr>
        <w:t>9</w:t>
      </w:r>
      <w:r w:rsidRPr="00297EE9">
        <w:rPr>
          <w:sz w:val="24"/>
        </w:rPr>
        <w:t xml:space="preserve"> – 3</w:t>
      </w:r>
      <w:r w:rsidR="00053D01" w:rsidRPr="00297EE9">
        <w:rPr>
          <w:sz w:val="24"/>
        </w:rPr>
        <w:t>0th July</w:t>
      </w:r>
      <w:r w:rsidRPr="00297EE9">
        <w:rPr>
          <w:sz w:val="24"/>
        </w:rPr>
        <w:t xml:space="preserve"> 20</w:t>
      </w:r>
      <w:r w:rsidR="00274B56" w:rsidRPr="00297EE9">
        <w:rPr>
          <w:sz w:val="24"/>
        </w:rPr>
        <w:t>20</w:t>
      </w:r>
    </w:p>
    <w:p w14:paraId="078A2EFA" w14:textId="5B38F01B" w:rsidR="00521BCC" w:rsidRDefault="00521BCC" w:rsidP="008E4DD8">
      <w:pPr>
        <w:spacing w:after="0" w:line="240" w:lineRule="auto"/>
        <w:ind w:left="567" w:hanging="567"/>
      </w:pPr>
    </w:p>
    <w:p w14:paraId="79DD6D51" w14:textId="13712EDC" w:rsidR="00521BCC" w:rsidRPr="00297EE9" w:rsidRDefault="00521BCC" w:rsidP="00521BCC">
      <w:pPr>
        <w:spacing w:after="0" w:line="240" w:lineRule="auto"/>
        <w:rPr>
          <w:sz w:val="24"/>
        </w:rPr>
      </w:pPr>
      <w:r w:rsidRPr="00297EE9">
        <w:rPr>
          <w:sz w:val="24"/>
        </w:rPr>
        <w:t xml:space="preserve">This report has been completed </w:t>
      </w:r>
      <w:r w:rsidR="00297EE9" w:rsidRPr="00297EE9">
        <w:rPr>
          <w:sz w:val="24"/>
        </w:rPr>
        <w:t>on</w:t>
      </w:r>
      <w:r w:rsidRPr="00297EE9">
        <w:rPr>
          <w:sz w:val="24"/>
        </w:rPr>
        <w:t xml:space="preserve"> a voluntary basis as the College is not required to report its energy and carbon emissions within its Annual Report.</w:t>
      </w:r>
      <w:r w:rsidR="000C7A2B">
        <w:rPr>
          <w:sz w:val="24"/>
        </w:rPr>
        <w:t xml:space="preserve"> </w:t>
      </w:r>
      <w:r w:rsidRPr="00297EE9">
        <w:rPr>
          <w:sz w:val="24"/>
        </w:rPr>
        <w:t>This is the first year of SECR carbon reporting and as such this year’s report will form the Baseline Year for future reporting.</w:t>
      </w:r>
    </w:p>
    <w:p w14:paraId="6CB01517" w14:textId="77777777" w:rsidR="0025472E" w:rsidRPr="00297EE9" w:rsidRDefault="0025472E" w:rsidP="008E4DD8">
      <w:pPr>
        <w:spacing w:after="0" w:line="240" w:lineRule="auto"/>
        <w:ind w:left="567" w:hanging="567"/>
        <w:rPr>
          <w:sz w:val="24"/>
        </w:rPr>
      </w:pPr>
    </w:p>
    <w:p w14:paraId="3A260FF6" w14:textId="035E91F0" w:rsidR="009F057C" w:rsidRPr="00297EE9" w:rsidRDefault="002E75B6" w:rsidP="002E75B6">
      <w:pPr>
        <w:spacing w:after="0" w:line="240" w:lineRule="auto"/>
        <w:rPr>
          <w:sz w:val="24"/>
        </w:rPr>
      </w:pPr>
      <w:r w:rsidRPr="00297EE9">
        <w:rPr>
          <w:sz w:val="24"/>
        </w:rPr>
        <w:t>The College has</w:t>
      </w:r>
      <w:r w:rsidR="00053D01" w:rsidRPr="00297EE9">
        <w:rPr>
          <w:sz w:val="24"/>
        </w:rPr>
        <w:t xml:space="preserve"> followed the</w:t>
      </w:r>
      <w:r w:rsidRPr="00297EE9">
        <w:rPr>
          <w:sz w:val="24"/>
        </w:rPr>
        <w:t xml:space="preserve"> 2019</w:t>
      </w:r>
      <w:r w:rsidR="00053D01" w:rsidRPr="00297EE9">
        <w:rPr>
          <w:sz w:val="24"/>
        </w:rPr>
        <w:t xml:space="preserve"> HM Government Environmental Reporting Guidelines</w:t>
      </w:r>
      <w:r w:rsidRPr="00297EE9">
        <w:rPr>
          <w:sz w:val="24"/>
        </w:rPr>
        <w:t xml:space="preserve">. </w:t>
      </w:r>
      <w:r w:rsidR="00053D01" w:rsidRPr="00297EE9">
        <w:rPr>
          <w:sz w:val="24"/>
        </w:rPr>
        <w:t>The Green House Gas (GHG)</w:t>
      </w:r>
      <w:r w:rsidRPr="00297EE9">
        <w:rPr>
          <w:sz w:val="24"/>
        </w:rPr>
        <w:t xml:space="preserve"> </w:t>
      </w:r>
      <w:r w:rsidR="00053D01" w:rsidRPr="00297EE9">
        <w:rPr>
          <w:sz w:val="24"/>
        </w:rPr>
        <w:t xml:space="preserve">Reporting Protocol – Corporate Standards and </w:t>
      </w:r>
      <w:r w:rsidR="000022A4" w:rsidRPr="00297EE9">
        <w:rPr>
          <w:sz w:val="24"/>
        </w:rPr>
        <w:t>the 2020 UK Government’s Conversion Factors for</w:t>
      </w:r>
      <w:r w:rsidRPr="00297EE9">
        <w:rPr>
          <w:sz w:val="24"/>
        </w:rPr>
        <w:t xml:space="preserve"> </w:t>
      </w:r>
      <w:r w:rsidR="000022A4" w:rsidRPr="00297EE9">
        <w:rPr>
          <w:sz w:val="24"/>
        </w:rPr>
        <w:t>Company Reporting have been used</w:t>
      </w:r>
      <w:r w:rsidR="001A70DD" w:rsidRPr="00297EE9">
        <w:rPr>
          <w:sz w:val="24"/>
        </w:rPr>
        <w:t xml:space="preserve"> in calculating the data.</w:t>
      </w:r>
    </w:p>
    <w:p w14:paraId="218A2126" w14:textId="4B2668F3" w:rsidR="00E27CF9" w:rsidRPr="00297EE9" w:rsidRDefault="00E27CF9" w:rsidP="008E4DD8">
      <w:pPr>
        <w:spacing w:after="0" w:line="240" w:lineRule="auto"/>
        <w:ind w:left="567" w:hanging="567"/>
        <w:rPr>
          <w:sz w:val="24"/>
        </w:rPr>
      </w:pPr>
    </w:p>
    <w:p w14:paraId="1B950A52" w14:textId="697609E3" w:rsidR="00E27CF9" w:rsidRDefault="00F629E9" w:rsidP="00D82298">
      <w:pPr>
        <w:spacing w:after="0" w:line="240" w:lineRule="auto"/>
        <w:rPr>
          <w:sz w:val="24"/>
        </w:rPr>
      </w:pPr>
      <w:r w:rsidRPr="00297EE9">
        <w:rPr>
          <w:sz w:val="24"/>
        </w:rPr>
        <w:t xml:space="preserve">The College operates from a number of local </w:t>
      </w:r>
      <w:r w:rsidR="00D82298" w:rsidRPr="00297EE9">
        <w:rPr>
          <w:sz w:val="24"/>
        </w:rPr>
        <w:t>authority-controlled</w:t>
      </w:r>
      <w:r w:rsidRPr="00297EE9">
        <w:rPr>
          <w:sz w:val="24"/>
        </w:rPr>
        <w:t xml:space="preserve"> premises in Blackburn, Liverpool and Warrington.</w:t>
      </w:r>
      <w:r w:rsidR="00D82298" w:rsidRPr="00297EE9">
        <w:rPr>
          <w:sz w:val="24"/>
        </w:rPr>
        <w:t xml:space="preserve"> The College also utilises premises which form part of Old Trafford Cricket Club in Manchester</w:t>
      </w:r>
      <w:r w:rsidR="00E22079">
        <w:rPr>
          <w:sz w:val="24"/>
        </w:rPr>
        <w:t xml:space="preserve">. All </w:t>
      </w:r>
      <w:r w:rsidRPr="00297EE9">
        <w:rPr>
          <w:sz w:val="24"/>
        </w:rPr>
        <w:t>energy consumption</w:t>
      </w:r>
      <w:r w:rsidR="00D82298" w:rsidRPr="00297EE9">
        <w:rPr>
          <w:sz w:val="24"/>
        </w:rPr>
        <w:t xml:space="preserve"> data</w:t>
      </w:r>
      <w:r w:rsidRPr="00297EE9">
        <w:rPr>
          <w:sz w:val="24"/>
        </w:rPr>
        <w:t xml:space="preserve"> for these premises has not been available</w:t>
      </w:r>
      <w:r w:rsidR="00E22079">
        <w:rPr>
          <w:sz w:val="24"/>
        </w:rPr>
        <w:t xml:space="preserve"> and estimated data has been included for the Liverpool and Warrington centres.</w:t>
      </w:r>
      <w:r w:rsidR="00EC70D6" w:rsidRPr="00297EE9">
        <w:rPr>
          <w:sz w:val="24"/>
        </w:rPr>
        <w:t xml:space="preserve"> The area of these premises is small in </w:t>
      </w:r>
      <w:r w:rsidR="00323E7D" w:rsidRPr="00297EE9">
        <w:rPr>
          <w:sz w:val="24"/>
        </w:rPr>
        <w:t>comparison</w:t>
      </w:r>
      <w:r w:rsidR="00EC70D6" w:rsidRPr="00297EE9">
        <w:rPr>
          <w:sz w:val="24"/>
        </w:rPr>
        <w:t xml:space="preserve"> to the rest of the college estate.</w:t>
      </w:r>
      <w:r w:rsidRPr="00297EE9">
        <w:rPr>
          <w:sz w:val="24"/>
        </w:rPr>
        <w:t xml:space="preserve"> The College will seek to obtain</w:t>
      </w:r>
      <w:r w:rsidR="00E22079">
        <w:rPr>
          <w:sz w:val="24"/>
        </w:rPr>
        <w:t xml:space="preserve"> all</w:t>
      </w:r>
      <w:r w:rsidRPr="00297EE9">
        <w:rPr>
          <w:sz w:val="24"/>
        </w:rPr>
        <w:t xml:space="preserve"> the necessary information and include it within next </w:t>
      </w:r>
      <w:r w:rsidR="00521BCC" w:rsidRPr="00297EE9">
        <w:rPr>
          <w:sz w:val="24"/>
        </w:rPr>
        <w:t>year’s report</w:t>
      </w:r>
      <w:r w:rsidRPr="00297EE9">
        <w:rPr>
          <w:sz w:val="24"/>
        </w:rPr>
        <w:t>.</w:t>
      </w:r>
    </w:p>
    <w:p w14:paraId="59197F4F" w14:textId="4235D530" w:rsidR="00962BDC" w:rsidRDefault="00962BDC" w:rsidP="00D82298">
      <w:pPr>
        <w:spacing w:after="0" w:line="240" w:lineRule="auto"/>
        <w:rPr>
          <w:sz w:val="24"/>
        </w:rPr>
      </w:pPr>
    </w:p>
    <w:p w14:paraId="264063F6" w14:textId="4407D6CE" w:rsidR="00962BDC" w:rsidRPr="00297EE9" w:rsidRDefault="00962BDC" w:rsidP="00D82298">
      <w:pPr>
        <w:spacing w:after="0" w:line="240" w:lineRule="auto"/>
        <w:rPr>
          <w:sz w:val="24"/>
        </w:rPr>
      </w:pPr>
      <w:r>
        <w:rPr>
          <w:sz w:val="24"/>
        </w:rPr>
        <w:t xml:space="preserve">For several months during the year college activities where altered as a result of national pandemic restrictions. Therefore, the consumption data may not fully reflect a typical year. </w:t>
      </w:r>
    </w:p>
    <w:p w14:paraId="14B8E7EC" w14:textId="77777777" w:rsidR="00EA7620" w:rsidRPr="00297EE9" w:rsidRDefault="00EA7620" w:rsidP="00B064EA">
      <w:pPr>
        <w:spacing w:after="0" w:line="240" w:lineRule="auto"/>
        <w:rPr>
          <w:sz w:val="24"/>
        </w:rPr>
      </w:pPr>
    </w:p>
    <w:p w14:paraId="14A60069" w14:textId="4F598A35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Intensity Measurement</w:t>
      </w:r>
    </w:p>
    <w:p w14:paraId="3F6A6E0C" w14:textId="77777777" w:rsidR="008E4DD8" w:rsidRDefault="008E4DD8" w:rsidP="008E4DD8">
      <w:pPr>
        <w:spacing w:after="0" w:line="240" w:lineRule="auto"/>
        <w:ind w:left="567" w:hanging="567"/>
      </w:pPr>
    </w:p>
    <w:p w14:paraId="5C1AE4A6" w14:textId="30F249FC" w:rsidR="001D79E8" w:rsidRPr="00297EE9" w:rsidRDefault="000022A4" w:rsidP="000022A4">
      <w:pPr>
        <w:spacing w:after="0" w:line="240" w:lineRule="auto"/>
        <w:rPr>
          <w:sz w:val="24"/>
        </w:rPr>
      </w:pPr>
      <w:r w:rsidRPr="00297EE9">
        <w:rPr>
          <w:sz w:val="24"/>
        </w:rPr>
        <w:t>The selected intensity measurement ratio is total gross emissions in metric tonnes CO</w:t>
      </w:r>
      <w:r w:rsidRPr="00297EE9">
        <w:rPr>
          <w:sz w:val="18"/>
        </w:rPr>
        <w:t>2</w:t>
      </w:r>
      <w:r w:rsidRPr="00297EE9">
        <w:rPr>
          <w:sz w:val="24"/>
        </w:rPr>
        <w:t>e per staff member, the recommended ratio for the sector.</w:t>
      </w:r>
    </w:p>
    <w:p w14:paraId="0EC293C4" w14:textId="77777777" w:rsidR="00FB299D" w:rsidRDefault="00FB299D" w:rsidP="00EA7620">
      <w:pPr>
        <w:spacing w:after="0" w:line="240" w:lineRule="auto"/>
        <w:ind w:firstLine="567"/>
      </w:pPr>
    </w:p>
    <w:p w14:paraId="59AB896A" w14:textId="1103545B" w:rsidR="008E4DD8" w:rsidRDefault="00053D01" w:rsidP="00EA7620">
      <w:pPr>
        <w:pStyle w:val="ListParagraph"/>
        <w:numPr>
          <w:ilvl w:val="0"/>
          <w:numId w:val="1"/>
        </w:numPr>
        <w:spacing w:after="0" w:line="240" w:lineRule="auto"/>
        <w:ind w:left="0" w:hanging="567"/>
        <w:contextualSpacing w:val="0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Measures Taken to Improve Energy Efficiency</w:t>
      </w:r>
    </w:p>
    <w:p w14:paraId="47C7D4FD" w14:textId="54C2B7F7" w:rsidR="003F44C1" w:rsidRPr="003F44C1" w:rsidRDefault="003F44C1" w:rsidP="003F44C1">
      <w:pPr>
        <w:spacing w:after="0" w:line="240" w:lineRule="auto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College has previously implemented a Carbon Management Plan which successfully reduced the carbon impact of its activities. Since completion</w:t>
      </w:r>
      <w:r w:rsidR="00297EE9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benefits of the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</w:t>
      </w:r>
      <w:r w:rsidR="000C7A2B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</w:t>
      </w: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continue</w:t>
      </w:r>
      <w:r w:rsidR="000C7A2B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as has the </w:t>
      </w: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adoption of energy efficien</w:t>
      </w:r>
      <w:r w:rsidR="00297EE9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C7A2B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technology</w:t>
      </w: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A2B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further reduce </w:t>
      </w:r>
      <w:r w:rsidRPr="003F44C1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carbon </w:t>
      </w:r>
      <w:r w:rsidR="000C7A2B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emissions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03CF39" w14:textId="77777777" w:rsidR="003F44C1" w:rsidRPr="003F44C1" w:rsidRDefault="003F44C1" w:rsidP="003F44C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37EBA" w14:textId="63CB4A88" w:rsidR="00806747" w:rsidRPr="00297EE9" w:rsidRDefault="00B064EA" w:rsidP="003F793A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During the reporting period the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has implemented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series of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measures to reduce </w:t>
      </w:r>
      <w:r w:rsidR="00B9566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carbon footprint from its activities. </w:t>
      </w:r>
    </w:p>
    <w:p w14:paraId="133AD765" w14:textId="79A681E5" w:rsidR="007D1F18" w:rsidRPr="00297EE9" w:rsidRDefault="007D1F18" w:rsidP="003F793A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D22EEC" w14:textId="6FDA8AD8" w:rsidR="000014C9" w:rsidRPr="00297EE9" w:rsidRDefault="000014C9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Continued adoption of reduce, reuse and recycle principles in order to minimise waste. </w:t>
      </w:r>
    </w:p>
    <w:p w14:paraId="52700E7E" w14:textId="42F0C354" w:rsidR="003F44C1" w:rsidRPr="00297EE9" w:rsidRDefault="003F44C1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Lighting efficiency improvements were completed within a number of buildings</w:t>
      </w:r>
      <w:r w:rsidR="00EC21B1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0D8013" w14:textId="5D5884E3" w:rsidR="000014C9" w:rsidRPr="00297EE9" w:rsidRDefault="003F44C1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Continued replacement of gas boilers with energy efficient models. </w:t>
      </w:r>
    </w:p>
    <w:p w14:paraId="18D36C04" w14:textId="3E87B75C" w:rsidR="005B301B" w:rsidRDefault="00B95668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3080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dditional College controlled premises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were constructed</w:t>
      </w:r>
      <w:r w:rsidR="00B3080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Croxteth 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3080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ark 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Liverpool. T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hese new facilities 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achieved BREEAM excellent standard and included 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energy efficiency measures such as a Building Management System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lighting control system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solar array.</w:t>
      </w:r>
    </w:p>
    <w:p w14:paraId="77922AFF" w14:textId="13B22BA9" w:rsidR="00D3296C" w:rsidRDefault="00D3296C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Purchas</w:t>
      </w:r>
      <w:r w:rsidR="000C7A2B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A2B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 all-electric zero emission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vehicles</w:t>
      </w:r>
      <w:r w:rsidR="000C7A2B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EFF4F4" w14:textId="70662E2A" w:rsidR="00806747" w:rsidRDefault="000C7A2B" w:rsidP="0080674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Installed </w:t>
      </w:r>
      <w:r w:rsidR="00D3296C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vehicle telematics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college owned cars to support efficient management.</w:t>
      </w:r>
    </w:p>
    <w:p w14:paraId="1B060642" w14:textId="31A9660C" w:rsidR="00E22079" w:rsidRDefault="00E22079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BCA4EA" w14:textId="44686CE4" w:rsidR="00E22079" w:rsidRPr="00E22079" w:rsidRDefault="00E22079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previous years the College has implemented a wide range of carbon reduction measures. These have included power optimisation, installation of solar arrays on a range of buildings, installation of a combined heat and power unit</w:t>
      </w:r>
      <w:r w:rsidR="009347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number of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biomass heating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systems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ighting has been updated in all buildings</w:t>
      </w:r>
      <w:r w:rsidR="009347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older inefficient electrical appliances have been r</w:t>
      </w:r>
      <w:r w:rsidR="00A34DE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eplaced, 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water consumption control measures introduced and paper consumption reduced through the adoption of technology solutions. A College wide reduce, reuse and recycle continues to operate and there has been good engagement from staff and students. Sustainability </w:t>
      </w:r>
      <w:r w:rsidR="000C66C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all its forms is a strategic objective for the College and plans are now being developed </w:t>
      </w:r>
      <w:r w:rsidR="00835542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ensure</w:t>
      </w:r>
      <w:r w:rsidR="000C66C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actions allow the achievement of government targets. </w:t>
      </w:r>
      <w:bookmarkStart w:id="0" w:name="_GoBack"/>
      <w:bookmarkEnd w:id="0"/>
    </w:p>
    <w:sectPr w:rsidR="00E22079" w:rsidRPr="00E22079" w:rsidSect="00EA7620">
      <w:footerReference w:type="default" r:id="rId15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70BE" w14:textId="77777777" w:rsidR="00F25BAE" w:rsidRDefault="00F25BAE" w:rsidP="008808D4">
      <w:pPr>
        <w:spacing w:after="0" w:line="240" w:lineRule="auto"/>
      </w:pPr>
      <w:r>
        <w:separator/>
      </w:r>
    </w:p>
  </w:endnote>
  <w:endnote w:type="continuationSeparator" w:id="0">
    <w:p w14:paraId="0DDCD8B0" w14:textId="77777777" w:rsidR="00F25BAE" w:rsidRDefault="00F25BAE" w:rsidP="0088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506F" w14:textId="77777777" w:rsidR="008808D4" w:rsidRDefault="008808D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6F5B8F5" wp14:editId="7BC56B3D">
          <wp:simplePos x="0" y="0"/>
          <wp:positionH relativeFrom="margin">
            <wp:posOffset>-266700</wp:posOffset>
          </wp:positionH>
          <wp:positionV relativeFrom="paragraph">
            <wp:posOffset>-118110</wp:posOffset>
          </wp:positionV>
          <wp:extent cx="958146" cy="3143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_Logo_Land_colour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881" cy="31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C7FD" w14:textId="77777777" w:rsidR="00F25BAE" w:rsidRDefault="00F25BAE" w:rsidP="008808D4">
      <w:pPr>
        <w:spacing w:after="0" w:line="240" w:lineRule="auto"/>
      </w:pPr>
      <w:r>
        <w:separator/>
      </w:r>
    </w:p>
  </w:footnote>
  <w:footnote w:type="continuationSeparator" w:id="0">
    <w:p w14:paraId="512C8B7C" w14:textId="77777777" w:rsidR="00F25BAE" w:rsidRDefault="00F25BAE" w:rsidP="0088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D79"/>
    <w:multiLevelType w:val="hybridMultilevel"/>
    <w:tmpl w:val="2C4E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E82"/>
    <w:multiLevelType w:val="hybridMultilevel"/>
    <w:tmpl w:val="5276D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E01"/>
    <w:multiLevelType w:val="hybridMultilevel"/>
    <w:tmpl w:val="C264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168A"/>
    <w:multiLevelType w:val="hybridMultilevel"/>
    <w:tmpl w:val="2EEECB16"/>
    <w:lvl w:ilvl="0" w:tplc="D6483C72">
      <w:start w:val="47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3F1"/>
    <w:multiLevelType w:val="hybridMultilevel"/>
    <w:tmpl w:val="8B96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D6290"/>
    <w:multiLevelType w:val="hybridMultilevel"/>
    <w:tmpl w:val="0E5A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1967"/>
    <w:multiLevelType w:val="hybridMultilevel"/>
    <w:tmpl w:val="6FFE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733A"/>
    <w:multiLevelType w:val="hybridMultilevel"/>
    <w:tmpl w:val="2954C3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DE6B30"/>
    <w:multiLevelType w:val="hybridMultilevel"/>
    <w:tmpl w:val="9484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570D"/>
    <w:multiLevelType w:val="hybridMultilevel"/>
    <w:tmpl w:val="B1CA2F40"/>
    <w:lvl w:ilvl="0" w:tplc="E1D09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4"/>
    <w:rsid w:val="000014C9"/>
    <w:rsid w:val="000022A4"/>
    <w:rsid w:val="00042D52"/>
    <w:rsid w:val="00053D01"/>
    <w:rsid w:val="000721C3"/>
    <w:rsid w:val="000815B9"/>
    <w:rsid w:val="000819E9"/>
    <w:rsid w:val="00087C55"/>
    <w:rsid w:val="000C483E"/>
    <w:rsid w:val="000C5BB1"/>
    <w:rsid w:val="000C66C9"/>
    <w:rsid w:val="000C7A2B"/>
    <w:rsid w:val="000F7C01"/>
    <w:rsid w:val="001040F7"/>
    <w:rsid w:val="001149A4"/>
    <w:rsid w:val="00124EC8"/>
    <w:rsid w:val="00135990"/>
    <w:rsid w:val="001755B0"/>
    <w:rsid w:val="00182DDE"/>
    <w:rsid w:val="001914CD"/>
    <w:rsid w:val="001A70DD"/>
    <w:rsid w:val="001D79E8"/>
    <w:rsid w:val="0025472E"/>
    <w:rsid w:val="00272CAE"/>
    <w:rsid w:val="00274B56"/>
    <w:rsid w:val="00297EE9"/>
    <w:rsid w:val="002C460D"/>
    <w:rsid w:val="002D0A0A"/>
    <w:rsid w:val="002E75B6"/>
    <w:rsid w:val="00304388"/>
    <w:rsid w:val="00323700"/>
    <w:rsid w:val="00323E7D"/>
    <w:rsid w:val="00331BBD"/>
    <w:rsid w:val="003F44C1"/>
    <w:rsid w:val="003F793A"/>
    <w:rsid w:val="00411734"/>
    <w:rsid w:val="004240F4"/>
    <w:rsid w:val="0046295F"/>
    <w:rsid w:val="0046363E"/>
    <w:rsid w:val="004839AF"/>
    <w:rsid w:val="00490197"/>
    <w:rsid w:val="004B08D7"/>
    <w:rsid w:val="004F60C9"/>
    <w:rsid w:val="00502E4E"/>
    <w:rsid w:val="00521BCC"/>
    <w:rsid w:val="00525F2A"/>
    <w:rsid w:val="00536F4A"/>
    <w:rsid w:val="0054613C"/>
    <w:rsid w:val="005556CF"/>
    <w:rsid w:val="00562FB5"/>
    <w:rsid w:val="00587CB0"/>
    <w:rsid w:val="005B301B"/>
    <w:rsid w:val="0064379E"/>
    <w:rsid w:val="006B3864"/>
    <w:rsid w:val="006E2A78"/>
    <w:rsid w:val="006F3760"/>
    <w:rsid w:val="007203AC"/>
    <w:rsid w:val="0072082D"/>
    <w:rsid w:val="00761E77"/>
    <w:rsid w:val="007B1E39"/>
    <w:rsid w:val="007B5775"/>
    <w:rsid w:val="007D1F18"/>
    <w:rsid w:val="007D54E3"/>
    <w:rsid w:val="007E27D0"/>
    <w:rsid w:val="00806747"/>
    <w:rsid w:val="00835542"/>
    <w:rsid w:val="00840A42"/>
    <w:rsid w:val="00855DEF"/>
    <w:rsid w:val="008565D3"/>
    <w:rsid w:val="00871155"/>
    <w:rsid w:val="008808D4"/>
    <w:rsid w:val="0088429E"/>
    <w:rsid w:val="008E4DD8"/>
    <w:rsid w:val="008E6113"/>
    <w:rsid w:val="008F05AD"/>
    <w:rsid w:val="009075BF"/>
    <w:rsid w:val="009140F7"/>
    <w:rsid w:val="00923468"/>
    <w:rsid w:val="009347E9"/>
    <w:rsid w:val="00950F3C"/>
    <w:rsid w:val="00962BDC"/>
    <w:rsid w:val="00963C3A"/>
    <w:rsid w:val="00970F41"/>
    <w:rsid w:val="00976134"/>
    <w:rsid w:val="00983A2F"/>
    <w:rsid w:val="009863CD"/>
    <w:rsid w:val="009D6521"/>
    <w:rsid w:val="009E3306"/>
    <w:rsid w:val="009F057C"/>
    <w:rsid w:val="009F2404"/>
    <w:rsid w:val="00A106AF"/>
    <w:rsid w:val="00A12218"/>
    <w:rsid w:val="00A34DEE"/>
    <w:rsid w:val="00A72C27"/>
    <w:rsid w:val="00AA6083"/>
    <w:rsid w:val="00AC241E"/>
    <w:rsid w:val="00AC4C02"/>
    <w:rsid w:val="00AD109E"/>
    <w:rsid w:val="00AD3E24"/>
    <w:rsid w:val="00B007B0"/>
    <w:rsid w:val="00B064EA"/>
    <w:rsid w:val="00B30808"/>
    <w:rsid w:val="00B32AAF"/>
    <w:rsid w:val="00B40E72"/>
    <w:rsid w:val="00B43744"/>
    <w:rsid w:val="00B6045B"/>
    <w:rsid w:val="00B9513B"/>
    <w:rsid w:val="00B95668"/>
    <w:rsid w:val="00BB26A2"/>
    <w:rsid w:val="00BC7204"/>
    <w:rsid w:val="00BC783A"/>
    <w:rsid w:val="00BD1FC4"/>
    <w:rsid w:val="00BE7156"/>
    <w:rsid w:val="00BF0B85"/>
    <w:rsid w:val="00BF6823"/>
    <w:rsid w:val="00C11480"/>
    <w:rsid w:val="00C37B1C"/>
    <w:rsid w:val="00C4290D"/>
    <w:rsid w:val="00C9089A"/>
    <w:rsid w:val="00C927B4"/>
    <w:rsid w:val="00CC0F19"/>
    <w:rsid w:val="00CD3DC5"/>
    <w:rsid w:val="00CF3635"/>
    <w:rsid w:val="00CF50FD"/>
    <w:rsid w:val="00D3296C"/>
    <w:rsid w:val="00D543A7"/>
    <w:rsid w:val="00D651FA"/>
    <w:rsid w:val="00D75592"/>
    <w:rsid w:val="00D75EC8"/>
    <w:rsid w:val="00D82298"/>
    <w:rsid w:val="00DD6A93"/>
    <w:rsid w:val="00DF29EB"/>
    <w:rsid w:val="00E03613"/>
    <w:rsid w:val="00E06755"/>
    <w:rsid w:val="00E22079"/>
    <w:rsid w:val="00E27CF9"/>
    <w:rsid w:val="00E35B47"/>
    <w:rsid w:val="00E80A37"/>
    <w:rsid w:val="00E95E6E"/>
    <w:rsid w:val="00EA7620"/>
    <w:rsid w:val="00EB3838"/>
    <w:rsid w:val="00EC21B1"/>
    <w:rsid w:val="00EC70D6"/>
    <w:rsid w:val="00EE1D56"/>
    <w:rsid w:val="00F21432"/>
    <w:rsid w:val="00F25BAE"/>
    <w:rsid w:val="00F629E9"/>
    <w:rsid w:val="00F74E95"/>
    <w:rsid w:val="00F87BB5"/>
    <w:rsid w:val="00FB299D"/>
    <w:rsid w:val="00FD5E69"/>
    <w:rsid w:val="380DB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931E"/>
  <w15:chartTrackingRefBased/>
  <w15:docId w15:val="{4A28E7D1-33A3-4490-9CCD-26FECFA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D4"/>
  </w:style>
  <w:style w:type="paragraph" w:styleId="Footer">
    <w:name w:val="footer"/>
    <w:basedOn w:val="Normal"/>
    <w:link w:val="FooterChar"/>
    <w:uiPriority w:val="99"/>
    <w:unhideWhenUsed/>
    <w:rsid w:val="0088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D4"/>
  </w:style>
  <w:style w:type="paragraph" w:styleId="ListParagraph">
    <w:name w:val="List Paragraph"/>
    <w:basedOn w:val="Normal"/>
    <w:uiPriority w:val="34"/>
    <w:qFormat/>
    <w:rsid w:val="008E4DD8"/>
    <w:pPr>
      <w:ind w:left="720"/>
      <w:contextualSpacing/>
    </w:pPr>
  </w:style>
  <w:style w:type="table" w:styleId="TableGrid">
    <w:name w:val="Table Grid"/>
    <w:basedOn w:val="TableNormal"/>
    <w:uiPriority w:val="39"/>
    <w:rsid w:val="0046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9d812-c193-4dfb-8d8b-34920ff7f950">
      <UserInfo>
        <DisplayName>Wherry, John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4E7E5C30C794BB8B8818950C4A387" ma:contentTypeVersion="10" ma:contentTypeDescription="Create a new document." ma:contentTypeScope="" ma:versionID="2bafd8a524bdabe9f2593cbc47646040">
  <xsd:schema xmlns:xsd="http://www.w3.org/2001/XMLSchema" xmlns:xs="http://www.w3.org/2001/XMLSchema" xmlns:p="http://schemas.microsoft.com/office/2006/metadata/properties" xmlns:ns2="fd9a5979-2df5-424d-b9f2-6829781cb29d" xmlns:ns3="cf99d812-c193-4dfb-8d8b-34920ff7f950" targetNamespace="http://schemas.microsoft.com/office/2006/metadata/properties" ma:root="true" ma:fieldsID="263019522249324b6bfbce2479538dca" ns2:_="" ns3:_="">
    <xsd:import namespace="fd9a5979-2df5-424d-b9f2-6829781cb29d"/>
    <xsd:import namespace="cf99d812-c193-4dfb-8d8b-34920ff7f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5979-2df5-424d-b9f2-6829781cb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d812-c193-4dfb-8d8b-34920ff7f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981B5-3B7A-4A4E-993F-B17B15F20E46}">
  <ds:schemaRefs>
    <ds:schemaRef ds:uri="cf99d812-c193-4dfb-8d8b-34920ff7f9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fd9a5979-2df5-424d-b9f2-6829781cb29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E37954-DAEE-4B40-96E2-D11E801E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a5979-2df5-424d-b9f2-6829781cb29d"/>
    <ds:schemaRef ds:uri="cf99d812-c193-4dfb-8d8b-34920ff7f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CD7D7-A9FE-4213-A33D-BFD95003C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Lucarz, Philippa</dc:creator>
  <cp:keywords/>
  <dc:description/>
  <cp:lastModifiedBy>Wherry, John</cp:lastModifiedBy>
  <cp:revision>16</cp:revision>
  <cp:lastPrinted>2020-01-20T17:29:00Z</cp:lastPrinted>
  <dcterms:created xsi:type="dcterms:W3CDTF">2021-03-25T11:48:00Z</dcterms:created>
  <dcterms:modified xsi:type="dcterms:W3CDTF">2021-03-29T16:19:00Z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0x010100E814E7E5C30C794BB8B8818950C4A387</vt:lpwstr>
  </property>
</Properties>
</file>